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949C">
      <w:pPr>
        <w:jc w:val="left"/>
        <w:rPr>
          <w:rFonts w:hint="eastAsia" w:ascii="华文仿宋" w:hAnsi="华文仿宋" w:eastAsia="华文仿宋" w:cs="华文仿宋"/>
          <w:sz w:val="22"/>
          <w:szCs w:val="22"/>
          <w:lang w:eastAsia="zh-CN"/>
        </w:rPr>
      </w:pPr>
      <w:r>
        <w:rPr>
          <w:rFonts w:hint="eastAsia" w:ascii="华文仿宋" w:hAnsi="华文仿宋" w:eastAsia="华文仿宋" w:cs="华文仿宋"/>
          <w:sz w:val="22"/>
          <w:szCs w:val="22"/>
          <w:lang w:eastAsia="zh-CN"/>
        </w:rPr>
        <w:t>附件</w:t>
      </w:r>
      <w:r>
        <w:rPr>
          <w:rFonts w:hint="eastAsia" w:ascii="华文仿宋" w:hAnsi="华文仿宋" w:eastAsia="华文仿宋" w:cs="华文仿宋"/>
          <w:sz w:val="22"/>
          <w:szCs w:val="22"/>
          <w:lang w:val="en-US" w:eastAsia="zh-CN"/>
        </w:rPr>
        <w:t>3</w:t>
      </w:r>
      <w:r>
        <w:rPr>
          <w:rFonts w:hint="eastAsia" w:ascii="华文仿宋" w:hAnsi="华文仿宋" w:eastAsia="华文仿宋" w:cs="华文仿宋"/>
          <w:sz w:val="22"/>
          <w:szCs w:val="22"/>
          <w:lang w:eastAsia="zh-CN"/>
        </w:rPr>
        <w:t>：</w:t>
      </w:r>
    </w:p>
    <w:p w14:paraId="7C39954C">
      <w:pPr>
        <w:jc w:val="center"/>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综合评分细则</w:t>
      </w:r>
    </w:p>
    <w:tbl>
      <w:tblPr>
        <w:tblStyle w:val="2"/>
        <w:tblW w:w="9420" w:type="dxa"/>
        <w:tblInd w:w="0" w:type="dxa"/>
        <w:shd w:val="clear" w:color="auto" w:fill="auto"/>
        <w:tblLayout w:type="fixed"/>
        <w:tblCellMar>
          <w:top w:w="0" w:type="dxa"/>
          <w:left w:w="0" w:type="dxa"/>
          <w:bottom w:w="0" w:type="dxa"/>
          <w:right w:w="0" w:type="dxa"/>
        </w:tblCellMar>
      </w:tblPr>
      <w:tblGrid>
        <w:gridCol w:w="1080"/>
        <w:gridCol w:w="1080"/>
        <w:gridCol w:w="1605"/>
        <w:gridCol w:w="3495"/>
        <w:gridCol w:w="1080"/>
        <w:gridCol w:w="1080"/>
      </w:tblGrid>
      <w:tr w14:paraId="2CC3618B">
        <w:tblPrEx>
          <w:shd w:val="clear" w:color="auto" w:fill="auto"/>
          <w:tblCellMar>
            <w:top w:w="0" w:type="dxa"/>
            <w:left w:w="0" w:type="dxa"/>
            <w:bottom w:w="0" w:type="dxa"/>
            <w:right w:w="0"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8AE5">
            <w:pPr>
              <w:keepNext w:val="0"/>
              <w:keepLines w:val="0"/>
              <w:widowControl/>
              <w:suppressLineNumbers w:val="0"/>
              <w:jc w:val="center"/>
              <w:textAlignment w:val="center"/>
              <w:rPr>
                <w:rFonts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EA7F">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类别</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F654">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分项指标</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8D19">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计分方法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1D3D">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0590">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合计</w:t>
            </w:r>
          </w:p>
        </w:tc>
      </w:tr>
      <w:tr w14:paraId="41C54883">
        <w:tblPrEx>
          <w:tblCellMar>
            <w:top w:w="0" w:type="dxa"/>
            <w:left w:w="0" w:type="dxa"/>
            <w:bottom w:w="0" w:type="dxa"/>
            <w:right w:w="0" w:type="dxa"/>
          </w:tblCellMar>
        </w:tblPrEx>
        <w:trPr>
          <w:trHeight w:val="23"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28DA">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3BD5">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经营状况</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2E50">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净资产总额</w:t>
            </w:r>
          </w:p>
        </w:tc>
        <w:tc>
          <w:tcPr>
            <w:tcW w:w="3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D5CA">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单项指标得分＝（本机构单项指标数值/所有有效参评银行在本指标中的最大值）×9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EBE6">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BFF0">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45</w:t>
            </w:r>
          </w:p>
        </w:tc>
      </w:tr>
      <w:tr w14:paraId="088D59BB">
        <w:tblPrEx>
          <w:tblCellMar>
            <w:top w:w="0" w:type="dxa"/>
            <w:left w:w="0" w:type="dxa"/>
            <w:bottom w:w="0" w:type="dxa"/>
            <w:right w:w="0" w:type="dxa"/>
          </w:tblCellMar>
        </w:tblPrEx>
        <w:trPr>
          <w:trHeight w:val="2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1F8D">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E8EF">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04D4">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资本充足率</w:t>
            </w:r>
          </w:p>
        </w:tc>
        <w:tc>
          <w:tcPr>
            <w:tcW w:w="3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A2EE">
            <w:pPr>
              <w:jc w:val="left"/>
              <w:rPr>
                <w:rFonts w:hint="eastAsia" w:ascii="华文仿宋" w:hAnsi="华文仿宋" w:eastAsia="华文仿宋" w:cs="华文仿宋"/>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06AA">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C01A">
            <w:pPr>
              <w:jc w:val="center"/>
              <w:rPr>
                <w:rFonts w:hint="eastAsia" w:ascii="华文仿宋" w:hAnsi="华文仿宋" w:eastAsia="华文仿宋" w:cs="华文仿宋"/>
                <w:i w:val="0"/>
                <w:color w:val="000000"/>
                <w:sz w:val="22"/>
                <w:szCs w:val="22"/>
                <w:u w:val="none"/>
              </w:rPr>
            </w:pPr>
          </w:p>
        </w:tc>
      </w:tr>
      <w:tr w14:paraId="74045887">
        <w:tblPrEx>
          <w:tblCellMar>
            <w:top w:w="0" w:type="dxa"/>
            <w:left w:w="0" w:type="dxa"/>
            <w:bottom w:w="0" w:type="dxa"/>
            <w:right w:w="0" w:type="dxa"/>
          </w:tblCellMar>
        </w:tblPrEx>
        <w:trPr>
          <w:trHeight w:val="2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8BB3">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A43F">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29C1F">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资产利润率</w:t>
            </w:r>
          </w:p>
        </w:tc>
        <w:tc>
          <w:tcPr>
            <w:tcW w:w="3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4C21">
            <w:pPr>
              <w:jc w:val="left"/>
              <w:rPr>
                <w:rFonts w:hint="eastAsia" w:ascii="华文仿宋" w:hAnsi="华文仿宋" w:eastAsia="华文仿宋" w:cs="华文仿宋"/>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1305">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32D4">
            <w:pPr>
              <w:jc w:val="center"/>
              <w:rPr>
                <w:rFonts w:hint="eastAsia" w:ascii="华文仿宋" w:hAnsi="华文仿宋" w:eastAsia="华文仿宋" w:cs="华文仿宋"/>
                <w:i w:val="0"/>
                <w:color w:val="000000"/>
                <w:sz w:val="22"/>
                <w:szCs w:val="22"/>
                <w:u w:val="none"/>
              </w:rPr>
            </w:pPr>
          </w:p>
        </w:tc>
      </w:tr>
      <w:tr w14:paraId="7E8B2401">
        <w:tblPrEx>
          <w:shd w:val="clear" w:color="auto" w:fill="auto"/>
          <w:tblCellMar>
            <w:top w:w="0" w:type="dxa"/>
            <w:left w:w="0" w:type="dxa"/>
            <w:bottom w:w="0" w:type="dxa"/>
            <w:right w:w="0" w:type="dxa"/>
          </w:tblCellMar>
        </w:tblPrEx>
        <w:trPr>
          <w:trHeight w:val="2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DAF5">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8307">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9E6E">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流动性比例</w:t>
            </w:r>
          </w:p>
        </w:tc>
        <w:tc>
          <w:tcPr>
            <w:tcW w:w="3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F3977">
            <w:pPr>
              <w:jc w:val="left"/>
              <w:rPr>
                <w:rFonts w:hint="eastAsia" w:ascii="华文仿宋" w:hAnsi="华文仿宋" w:eastAsia="华文仿宋" w:cs="华文仿宋"/>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5755">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A81D">
            <w:pPr>
              <w:jc w:val="center"/>
              <w:rPr>
                <w:rFonts w:hint="eastAsia" w:ascii="华文仿宋" w:hAnsi="华文仿宋" w:eastAsia="华文仿宋" w:cs="华文仿宋"/>
                <w:i w:val="0"/>
                <w:color w:val="000000"/>
                <w:sz w:val="22"/>
                <w:szCs w:val="22"/>
                <w:u w:val="none"/>
              </w:rPr>
            </w:pPr>
          </w:p>
        </w:tc>
      </w:tr>
      <w:tr w14:paraId="0868B929">
        <w:tblPrEx>
          <w:tblCellMar>
            <w:top w:w="0" w:type="dxa"/>
            <w:left w:w="0" w:type="dxa"/>
            <w:bottom w:w="0" w:type="dxa"/>
            <w:right w:w="0" w:type="dxa"/>
          </w:tblCellMar>
        </w:tblPrEx>
        <w:trPr>
          <w:trHeight w:val="2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157A">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8605">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A8EC">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不良贷款率</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0DE9">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（所有有效参评银行在本指标中的最小值/本机构单项指标数值）×9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807F1">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A486">
            <w:pPr>
              <w:jc w:val="center"/>
              <w:rPr>
                <w:rFonts w:hint="eastAsia" w:ascii="华文仿宋" w:hAnsi="华文仿宋" w:eastAsia="华文仿宋" w:cs="华文仿宋"/>
                <w:i w:val="0"/>
                <w:color w:val="000000"/>
                <w:sz w:val="22"/>
                <w:szCs w:val="22"/>
                <w:u w:val="none"/>
              </w:rPr>
            </w:pPr>
          </w:p>
        </w:tc>
      </w:tr>
      <w:tr w14:paraId="0BFA9E91">
        <w:tblPrEx>
          <w:shd w:val="clear" w:color="auto" w:fill="auto"/>
          <w:tblCellMar>
            <w:top w:w="0" w:type="dxa"/>
            <w:left w:w="0" w:type="dxa"/>
            <w:bottom w:w="0" w:type="dxa"/>
            <w:right w:w="0" w:type="dxa"/>
          </w:tblCellMar>
        </w:tblPrEx>
        <w:trPr>
          <w:trHeight w:val="23"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C53C">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26D5">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服务水平</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8CAE">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客户待遇水平</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D567">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根据参评银行提供服务方案给出的客户待遇水平进行打分，满足我院对安全、优质、准确、高效、便捷的服务要求。</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被评为优的，得4分。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被评为良的，得2分。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被评为中的，得1分。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被评为差的，不得分。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8B26">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C0F3">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20</w:t>
            </w:r>
          </w:p>
        </w:tc>
      </w:tr>
      <w:tr w14:paraId="2942BCF0">
        <w:tblPrEx>
          <w:shd w:val="clear" w:color="auto" w:fill="auto"/>
          <w:tblCellMar>
            <w:top w:w="0" w:type="dxa"/>
            <w:left w:w="0" w:type="dxa"/>
            <w:bottom w:w="0" w:type="dxa"/>
            <w:right w:w="0" w:type="dxa"/>
          </w:tblCellMar>
        </w:tblPrEx>
        <w:trPr>
          <w:trHeight w:val="1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B3A6">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4C8C">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E4AC">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服务团队及工作人员配置</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A8DE">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对参评银行提出的账户开立及日常管理方案（2分）、人员配备及分工（2分）、提供服务时效性和便捷性（2分）进行打分。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C148">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4919">
            <w:pPr>
              <w:jc w:val="center"/>
              <w:rPr>
                <w:rFonts w:hint="eastAsia" w:ascii="华文仿宋" w:hAnsi="华文仿宋" w:eastAsia="华文仿宋" w:cs="华文仿宋"/>
                <w:i w:val="0"/>
                <w:color w:val="000000"/>
                <w:sz w:val="22"/>
                <w:szCs w:val="22"/>
                <w:u w:val="none"/>
              </w:rPr>
            </w:pPr>
          </w:p>
        </w:tc>
      </w:tr>
      <w:tr w14:paraId="4C0E5AB1">
        <w:tblPrEx>
          <w:tblCellMar>
            <w:top w:w="0" w:type="dxa"/>
            <w:left w:w="0" w:type="dxa"/>
            <w:bottom w:w="0" w:type="dxa"/>
            <w:right w:w="0" w:type="dxa"/>
          </w:tblCellMar>
        </w:tblPrEx>
        <w:trPr>
          <w:trHeight w:val="23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5E370">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2618">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DECC">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银行风险防控措施</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8903">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对参评银行的内部控制、风险防控体系、操作规范和保密措施进行打分。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被评为优的，得4分。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被评为良的，得2分。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被评为中的，得1分。</w:t>
            </w:r>
            <w:r>
              <w:rPr>
                <w:rFonts w:hint="eastAsia" w:ascii="华文仿宋" w:hAnsi="华文仿宋" w:eastAsia="华文仿宋" w:cs="华文仿宋"/>
                <w:i w:val="0"/>
                <w:color w:val="000000"/>
                <w:kern w:val="0"/>
                <w:sz w:val="22"/>
                <w:szCs w:val="22"/>
                <w:u w:val="none"/>
                <w:lang w:val="en-US" w:eastAsia="zh-CN" w:bidi="ar"/>
              </w:rPr>
              <w:br w:type="textWrapping"/>
            </w:r>
            <w:r>
              <w:rPr>
                <w:rFonts w:hint="eastAsia" w:ascii="华文仿宋" w:hAnsi="华文仿宋" w:eastAsia="华文仿宋" w:cs="华文仿宋"/>
                <w:i w:val="0"/>
                <w:color w:val="000000"/>
                <w:kern w:val="0"/>
                <w:sz w:val="22"/>
                <w:szCs w:val="22"/>
                <w:u w:val="none"/>
                <w:lang w:val="en-US" w:eastAsia="zh-CN" w:bidi="ar"/>
              </w:rPr>
              <w:t>被评为差的，不得分。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CEFA">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90E7">
            <w:pPr>
              <w:jc w:val="center"/>
              <w:rPr>
                <w:rFonts w:hint="eastAsia" w:ascii="华文仿宋" w:hAnsi="华文仿宋" w:eastAsia="华文仿宋" w:cs="华文仿宋"/>
                <w:i w:val="0"/>
                <w:color w:val="000000"/>
                <w:sz w:val="22"/>
                <w:szCs w:val="22"/>
                <w:u w:val="none"/>
              </w:rPr>
            </w:pPr>
          </w:p>
        </w:tc>
      </w:tr>
      <w:tr w14:paraId="11E7DDB7">
        <w:tblPrEx>
          <w:tblCellMar>
            <w:top w:w="0" w:type="dxa"/>
            <w:left w:w="0" w:type="dxa"/>
            <w:bottom w:w="0" w:type="dxa"/>
            <w:right w:w="0"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B1DA">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6F97">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3A7D2">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日常跟踪服务水平</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D5B2">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对参评银行电子化服务水平（1分)、定期存款到期提醒服务(1分）、票据送取服务(1分）、对账服务（1分）等具体服务项进行打分。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0DB2">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66D9C">
            <w:pPr>
              <w:jc w:val="center"/>
              <w:rPr>
                <w:rFonts w:hint="eastAsia" w:ascii="华文仿宋" w:hAnsi="华文仿宋" w:eastAsia="华文仿宋" w:cs="华文仿宋"/>
                <w:i w:val="0"/>
                <w:color w:val="000000"/>
                <w:sz w:val="22"/>
                <w:szCs w:val="22"/>
                <w:u w:val="none"/>
              </w:rPr>
            </w:pPr>
          </w:p>
        </w:tc>
      </w:tr>
      <w:tr w14:paraId="5461A429">
        <w:tblPrEx>
          <w:shd w:val="clear" w:color="auto" w:fill="auto"/>
          <w:tblCellMar>
            <w:top w:w="0" w:type="dxa"/>
            <w:left w:w="0" w:type="dxa"/>
            <w:bottom w:w="0" w:type="dxa"/>
            <w:right w:w="0" w:type="dxa"/>
          </w:tblCellMar>
        </w:tblPrEx>
        <w:trPr>
          <w:trHeight w:val="1200" w:hRule="atLeast"/>
        </w:trPr>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8B682A1">
            <w:pPr>
              <w:jc w:val="center"/>
              <w:rPr>
                <w:rFonts w:hint="eastAsia" w:ascii="华文仿宋" w:hAnsi="华文仿宋" w:eastAsia="华文仿宋" w:cs="华文仿宋"/>
                <w:i w:val="0"/>
                <w:color w:val="000000"/>
                <w:sz w:val="22"/>
                <w:szCs w:val="22"/>
                <w:u w:val="none"/>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2397B1">
            <w:pPr>
              <w:jc w:val="center"/>
              <w:rPr>
                <w:rFonts w:hint="eastAsia" w:ascii="华文仿宋" w:hAnsi="华文仿宋" w:eastAsia="华文仿宋" w:cs="华文仿宋"/>
                <w:i w:val="0"/>
                <w:color w:val="000000"/>
                <w:sz w:val="22"/>
                <w:szCs w:val="22"/>
                <w:u w:val="none"/>
              </w:rPr>
            </w:pPr>
          </w:p>
        </w:tc>
        <w:tc>
          <w:tcPr>
            <w:tcW w:w="16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D72953">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服务费用减免</w:t>
            </w:r>
          </w:p>
        </w:tc>
        <w:tc>
          <w:tcPr>
            <w:tcW w:w="34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699C24">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根据各银行提供的所有服务费用减免情况进行打分，全免得2分；</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C48990C">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0-2</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3B8923">
            <w:pPr>
              <w:jc w:val="center"/>
              <w:rPr>
                <w:rFonts w:hint="eastAsia" w:ascii="华文仿宋" w:hAnsi="华文仿宋" w:eastAsia="华文仿宋" w:cs="华文仿宋"/>
                <w:i w:val="0"/>
                <w:color w:val="000000"/>
                <w:sz w:val="22"/>
                <w:szCs w:val="22"/>
                <w:u w:val="none"/>
              </w:rPr>
            </w:pPr>
          </w:p>
        </w:tc>
      </w:tr>
      <w:tr w14:paraId="0D2D3C9A">
        <w:tblPrEx>
          <w:tblCellMar>
            <w:top w:w="0" w:type="dxa"/>
            <w:left w:w="0" w:type="dxa"/>
            <w:bottom w:w="0" w:type="dxa"/>
            <w:right w:w="0" w:type="dxa"/>
          </w:tblCellMar>
        </w:tblPrEx>
        <w:trPr>
          <w:trHeight w:val="990" w:hRule="atLeast"/>
        </w:trPr>
        <w:tc>
          <w:tcPr>
            <w:tcW w:w="108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1115529">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3</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4486171">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利率水平</w:t>
            </w:r>
          </w:p>
        </w:tc>
        <w:tc>
          <w:tcPr>
            <w:tcW w:w="160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3ABB32">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承诺一年定期存款利率</w:t>
            </w:r>
          </w:p>
        </w:tc>
        <w:tc>
          <w:tcPr>
            <w:tcW w:w="349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4E6AD1">
            <w:pPr>
              <w:keepNext w:val="0"/>
              <w:keepLines w:val="0"/>
              <w:widowControl/>
              <w:suppressLineNumbers w:val="0"/>
              <w:jc w:val="lef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（本银行央行基准利率上浮率/所有有效参评银行中最高央行基准利率上浮率）×35</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68C6AA">
            <w:pPr>
              <w:keepNext w:val="0"/>
              <w:keepLines w:val="0"/>
              <w:widowControl/>
              <w:suppressLineNumbers w:val="0"/>
              <w:jc w:val="center"/>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0-35</w:t>
            </w:r>
          </w:p>
        </w:tc>
        <w:tc>
          <w:tcPr>
            <w:tcW w:w="108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71EDD9E6">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35</w:t>
            </w:r>
          </w:p>
        </w:tc>
      </w:tr>
    </w:tbl>
    <w:p w14:paraId="5201864E">
      <w:pPr>
        <w:keepNext w:val="0"/>
        <w:keepLines w:val="0"/>
        <w:widowControl/>
        <w:suppressLineNumbers w:val="0"/>
        <w:jc w:val="left"/>
        <w:textAlignment w:val="center"/>
        <w:rPr>
          <w:rFonts w:hint="eastAsia" w:ascii="华文仿宋" w:hAnsi="华文仿宋" w:eastAsia="华文仿宋" w:cs="华文仿宋"/>
          <w:i w:val="0"/>
          <w:color w:val="000000"/>
          <w:kern w:val="0"/>
          <w:sz w:val="22"/>
          <w:szCs w:val="22"/>
          <w:u w:val="none"/>
          <w:lang w:val="en-US" w:eastAsia="zh-CN" w:bidi="ar"/>
        </w:rPr>
      </w:pPr>
      <w:r>
        <w:rPr>
          <w:rFonts w:hint="eastAsia" w:ascii="华文仿宋" w:hAnsi="华文仿宋" w:eastAsia="华文仿宋" w:cs="华文仿宋"/>
          <w:i w:val="0"/>
          <w:color w:val="000000"/>
          <w:kern w:val="0"/>
          <w:sz w:val="22"/>
          <w:szCs w:val="22"/>
          <w:u w:val="none"/>
          <w:lang w:val="en-US" w:eastAsia="zh-CN" w:bidi="ar"/>
        </w:rPr>
        <w:t>注：评选委员会人数在5人以上的，参评银行最终得分为去掉全体评选人员评分中最高分和最低分后的算术平均数。</w:t>
      </w:r>
      <w:bookmarkStart w:id="0" w:name="_GoBack"/>
      <w:bookmarkEnd w:id="0"/>
    </w:p>
    <w:p w14:paraId="71B3918F">
      <w:pPr>
        <w:keepNext w:val="0"/>
        <w:keepLines w:val="0"/>
        <w:widowControl/>
        <w:suppressLineNumbers w:val="0"/>
        <w:jc w:val="left"/>
        <w:textAlignment w:val="center"/>
        <w:rPr>
          <w:rFonts w:hint="eastAsia" w:ascii="华文仿宋" w:hAnsi="华文仿宋" w:eastAsia="华文仿宋" w:cs="华文仿宋"/>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348CD"/>
    <w:rsid w:val="092D5748"/>
    <w:rsid w:val="10194B24"/>
    <w:rsid w:val="1F746162"/>
    <w:rsid w:val="20DD44FD"/>
    <w:rsid w:val="2CDE02D9"/>
    <w:rsid w:val="3B195254"/>
    <w:rsid w:val="567455AF"/>
    <w:rsid w:val="5BA27B68"/>
    <w:rsid w:val="5E9D7628"/>
    <w:rsid w:val="67A3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543</Words>
  <Characters>572</Characters>
  <Lines>0</Lines>
  <Paragraphs>0</Paragraphs>
  <TotalTime>0</TotalTime>
  <ScaleCrop>false</ScaleCrop>
  <LinksUpToDate>false</LinksUpToDate>
  <CharactersWithSpaces>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2021-05-25T04:16:00Z</dcterms:created>
  <dc:creator>yux</dc:creator>
  <cp:lastModifiedBy>SINGLE CATE</cp:lastModifiedBy>
  <dcterms:modified xsi:type="dcterms:W3CDTF">2026-05-25T08:05:50Z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AE454123D94E49F1A78B4F727C97B815</vt:lpwstr>
  </property>
  <property fmtid="{D5CDD505-2E9C-101B-9397-08002B2CF9AE}" pid="4" name="KSOTemplateDocerSaveRecord">
    <vt:lpwstr>eyJoZGlkIjoiNDY1YmE3N2Q4MjE0MGZiMmQ3NTgxODk4YjQyMTVjMzkiLCJ1c2VySWQiOiI0MzAxMjgzMjEifQ==</vt:lpwstr>
  </property>
</Properties>
</file>